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1083</w:t>
      </w:r>
      <w:r>
        <w:rPr>
          <w:rFonts w:ascii="Times New Roman" w:eastAsia="Times New Roman" w:hAnsi="Times New Roman" w:cs="Times New Roman"/>
          <w:sz w:val="26"/>
          <w:szCs w:val="26"/>
        </w:rPr>
        <w:t>-2803/2025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АВТОСПЕЦТЕХНИКА-ЮГРА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</w:t>
      </w:r>
      <w:r>
        <w:rPr>
          <w:rFonts w:ascii="Times New Roman" w:eastAsia="Times New Roman" w:hAnsi="Times New Roman" w:cs="Times New Roman"/>
          <w:sz w:val="26"/>
          <w:szCs w:val="26"/>
        </w:rPr>
        <w:t>Викентьевича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Юрканис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АВТОСПЕЦТЕХНИКА-ЮГРА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Рознина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АВТОСПЕЦТЕХНИКА-ЮГРА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 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Юрканис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Юрканис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860025200</w:t>
      </w:r>
      <w:r>
        <w:rPr>
          <w:rFonts w:ascii="Times New Roman" w:eastAsia="Times New Roman" w:hAnsi="Times New Roman" w:cs="Times New Roman"/>
          <w:sz w:val="26"/>
          <w:szCs w:val="26"/>
        </w:rPr>
        <w:t>95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АВТОСПЕЦТЕХНИКА-ЮГРА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ст.2.9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малозначительности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 под малозначительностью административного правонарушения понимается действие или бездействие, хотя формально и содержащее признаки состава административного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отношений.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п.21 Постановления Пленума Верховного суда РФ от 24 марта 2005 г. №5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Анализ приведенной нормы применительно к конкретным обстоятельствам данного дела, с учетом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привлекающегося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характера, совершенного им правонарушения, нарушение срока менее чем на 1 день, позволяют сделать вывод о том, что совершенное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не повлекло наступление каких-либо вредных последствий, а также существенного нарушения охраняемых общественных правоотношений.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мировой судья приходит к выводу о возможности прекращении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малозначительностью совершенного им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прекратить производство по делу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Юрканиса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Юрия </w:t>
      </w:r>
      <w:r>
        <w:rPr>
          <w:rFonts w:ascii="Times New Roman" w:eastAsia="Times New Roman" w:hAnsi="Times New Roman" w:cs="Times New Roman"/>
          <w:sz w:val="26"/>
          <w:szCs w:val="26"/>
        </w:rPr>
        <w:t>Викентьевича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малозначительностью совершенного правонарушения, объявив ему УСТНОЕ ЗАМЕЧАНИЕ.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39487.2102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